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LABV (Bayern) — Inkrafttreten, Außerkrafttreten</w:t>
      </w:r>
    </w:p>
    <w:p>
      <w:r>
        <w:rPr>
          <w:color w:val="555555"/>
          <w:sz w:val="18"/>
        </w:rPr>
        <w:t xml:space="preserve">Verordnung über die Landesanwaltschaft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Diese Verordnung tritt am 1. September 2008 in Kraft.</w:t>
      </w:r>
    </w:p>
    <w:p>
      <w:r>
        <w:t xml:space="preserve">(2) Mit Ablauf des 31. August 2008 tritt die Verordnung über die Landesanwaltschaft Bayern (LABV) vom 4. November 1975 (BayRS 34-3-I), zuletzt geändert durch § 16 der Verordnung vom 25. November 2003 (GVBl S. 880), außer Kraft.</w:t>
      </w:r>
    </w:p>
    <w:p>
      <w:r>
        <w:rPr>
          <w:color w:val="555555"/>
          <w:sz w:val="17"/>
        </w:rPr>
        <w:t xml:space="preserve">Zitiervorschlag: § 7 LABV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https://recht.nulegal.eu/gesetze/LABV/7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