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LABV (Bayern) — Vertretung des öffentlichen Interesses</w:t>
      </w:r>
    </w:p>
    <w:p>
      <w:r>
        <w:rPr>
          <w:color w:val="555555"/>
          <w:sz w:val="18"/>
        </w:rPr>
        <w:t xml:space="preserve">Verordnung über die Landesanwaltschaft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Vertretung des öffentlichen Interesses gemäß § 36 VwGO in Verfahren vor den Gerichten der Verwaltungsgerichtsbarkeit, auch soweit sie als Schiedsgerichte entscheiden, nehmen</w:t>
      </w:r>
    </w:p>
    <w:p>
      <w:r>
        <w:t xml:space="preserve">1. vor den Verwaltungsgerichten die örtlich zuständigen Regierungen,</w:t>
      </w:r>
    </w:p>
    <w:p>
      <w:r>
        <w:t xml:space="preserve">2 vor dem Verwaltungsgerichtshof und vor dem Bundesverwaltungsgericht die Landesanwaltschaft Bayern wahr.</w:t>
      </w:r>
    </w:p>
    <w:p>
      <w:r>
        <w:t xml:space="preserve">§ 3 Abs. 4 gilt entsprechend.</w:t>
      </w:r>
    </w:p>
    <w:p>
      <w:r>
        <w:t xml:space="preserve">(2) Die Vertretung des öffentlichen Interesses hat daran mitzuwirken, dass das Recht sich durchsetzt und das Gemeinwohl keinen Schaden leidet. Sie ist hierbei nur an Weisungen der Staatsregierung gebunden.</w:t>
      </w:r>
    </w:p>
    <w:p>
      <w:r>
        <w:t xml:space="preserve">(3) Unbeschadet des Weisungsrechts der Staatsregierung beschränkt sich die Beteiligung nach Abs. 1 auf Rechtsgebiete und Verfahren, die von besonderem öffentlichen Interesse sind.</w:t>
      </w:r>
    </w:p>
    <w:p>
      <w:r>
        <w:t xml:space="preserve">(4) In Verfahren vor den Kammern für Disziplinarsachen und vor den Disziplinarsenaten wirkt die Vertretung des öffentlichen Interesses nicht mit.</w:t>
      </w:r>
    </w:p>
    <w:p>
      <w:r>
        <w:rPr>
          <w:color w:val="555555"/>
          <w:sz w:val="17"/>
        </w:rPr>
        <w:t xml:space="preserve">Zitiervorschlag: § 5 LABV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