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LABV (Bayern) — Vertretung des Freistaates Bayern</w:t>
      </w:r>
    </w:p>
    <w:p>
      <w:r>
        <w:rPr>
          <w:color w:val="555555"/>
          <w:sz w:val="18"/>
        </w:rPr>
        <w:t xml:space="preserve">Verordnung über die Landesanwaltschaft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Vertretung des Freistaates Bayern in verwaltungsgerichtlichen Verfahren bestimmt sich nach den folgenden Absätzen, wenn</w:t>
      </w:r>
    </w:p>
    <w:p>
      <w:r>
        <w:t xml:space="preserve">1. die Klage oder ein sonstiger Antrag gegen den Freistaat Bayern gerichtet ist,</w:t>
      </w:r>
    </w:p>
    <w:p>
      <w:r>
        <w:t xml:space="preserve">2. die Klage gegen den Freistaat Bayern gerichtet ist und der Freistaat Bayern Widerklage nach § 89 VwGO erhebt,</w:t>
      </w:r>
    </w:p>
    <w:p>
      <w:r>
        <w:t xml:space="preserve">3. der Freistaat Bayern als Hoheitsträger beigeladen wird,</w:t>
      </w:r>
    </w:p>
    <w:p>
      <w:r>
        <w:t xml:space="preserve">4. der Freistaat Bayern vor dem Bundesverwaltungsgericht Klage nach § 50 Abs. 1 Nr. 1 VwGO erhebt.</w:t>
      </w:r>
    </w:p>
    <w:p>
      <w:r>
        <w:t xml:space="preserve">Für die Vertretung in Disziplinarsachen nach dem Bayerischen Disziplinargesetz gelten § 6 ZustV-BayDG, § 6 DVKommBayDG sowie die Regelungen der weiteren auf Grund des Art. 18 Abs. 5 BayDG erlassenen Rechtsverordnungen.</w:t>
      </w:r>
    </w:p>
    <w:p>
      <w:r>
        <w:t xml:space="preserve">(2) In Verfahren vor den Verwaltungsgerichten obliegt die Vertretung der Ausgangsbehörde. Ist eine Ausgangsbehörde nicht zu ermitteln oder fehlt eine solche, ist die Regierung am Sitz des Gerichts Vertretungsbehörde. Die Ausgangsbehörde kann die Vertretung in Verfahren, die ihr von herausgehobener Bedeutung oder prozessrechtlich schwierig erscheinen, auf die Widerspruchsbehörde, eine andere oder höhere Behörde desselben Geschäftsbereichs mit Ausnahme der obersten Landesbehörde oder die für die Vertretung des öffentlichen Interesses zuständige Regierung mit deren Einverständnis übertragen. Die Übernahme der Vertretung ist dem Gericht durch die übernehmende Behörde mitzuteilen. Ab Eingang der Mitteilung bei Gericht ist die Zuständigkeit übergegangen. Ist die Ausgangsbehörde einem Präsidium der Bayerischen Landespolizei oder dem Präsidium der Bayerischen Bereitschaftspolizei nachgeordnet, obliegt die Vertretung dem jeweiligen Präsidium.</w:t>
      </w:r>
    </w:p>
    <w:p>
      <w:r>
        <w:t xml:space="preserve">(3) In Verfahren vor dem Verwaltungsgerichtshof und dem Bundesverwaltungsgericht wird der Freistaat Bayern durch die Landesanwaltschaft Bayern vertreten. Die Landesanwaltschaft Bayern kann die Vertretung im Einzelfall auf die Ausgangsbehörde oder in den Fällen des Abs. 2 Satz 6 auf die Vertretungsbehörde mit deren Einverständnis übertragen. Ist das Landesjustizprüfungsamt oder ein Amt für Ländliche Entwicklung Ausgangsbehörde, so obliegt diesem die Vertretung, es sei denn, es überträgt sie im Einzelfall auf die Landesanwaltschaft Bayern. Für die Übertragung gelten jeweils Abs. 2 Sätze 4 und 5 entsprechend.</w:t>
      </w:r>
    </w:p>
    <w:p>
      <w:r>
        <w:t xml:space="preserve">(4) Die Vertretung umfasst auch die Befugnis zur Einlegung eines Rechtsmittels oder die Stellung eines Antrags auf Zulassung eines Rechtsmittels; die Landesanwaltschaft Bayern kann bereits bei den Verwaltungsgerichten Rechtsmittel einlegen oder deren Zulassung beantragen.</w:t>
      </w:r>
    </w:p>
    <w:p>
      <w:r>
        <w:t xml:space="preserve">(5) Sofern nicht im Einzelfall die Staatskanzlei oder das Staatsministerium, dessen Geschäftsbereich berührt ist, die Vertretung des Freistaates Bayern übernimmt oder die Vertretung abweichend regelt, vertritt die Landesanwaltschaft Bayern diesen in Zwischen- und Folgeverfahren zu Verfahren nach Abs. 1 vor dem Bundesverfassungsgericht und dem Europäischen Gerichtshof.</w:t>
      </w:r>
    </w:p>
    <w:p>
      <w:r>
        <w:t xml:space="preserve">(6) Die Vertretungsbehörden können Vertreter anderer Staatsbehörden zur mündlichen Verhandlung und zum Beweistermin zuziehen.</w:t>
      </w:r>
    </w:p>
    <w:p>
      <w:r>
        <w:t xml:space="preserve">(7) Behörden, denen die Vertretung übertragen wurde oder gemäß Abs. 2 Satz 6 obliegt, sowie die Landesanwaltschaft Bayern nehmen ihre Aufgaben im Benehmen mit den beteiligten Verwaltungsbehörden wahr. Sie haben grundsätzlich den ihnen im Einzelfall von den beteiligten Behörden gegebenen Instruktionen zu entsprechen. Satz 2 gilt nicht, soweit der Vertretungsbehörde als Widerspruchsbehörde die Vertretung übertragen wurde oder ihr die Vertretung gemäß Abs. 2 Satz 6 obliegt. Lassen sich Meinungsverschiedenheiten zwischen Staatsministerien und der Landesanwaltschaft Bayern nicht ausgleichen, entscheidet die Staatsregierung.</w:t>
      </w:r>
    </w:p>
    <w:p>
      <w:r>
        <w:rPr>
          <w:color w:val="555555"/>
          <w:sz w:val="17"/>
        </w:rPr>
        <w:t xml:space="preserve">Zitiervorschlag: § 3 LABV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https://recht.nulegal.eu/gesetze/LABV/3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