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LABV (Bayern) — Ernennung der Landesanwälte, Dienstaufsicht, Amtstracht</w:t>
      </w:r>
    </w:p>
    <w:p>
      <w:r>
        <w:rPr>
          <w:color w:val="555555"/>
          <w:sz w:val="18"/>
        </w:rPr>
        <w:t xml:space="preserve">Verordnung über die Landesanwaltschaft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Beamten der Landesanwaltschaft Bayern werden nach Art. 55 Nr. 4 der Verfassung sowie den Vorschriften des Beamtenstatusgesetzes und des Bayerischen Beamtengesetzes ernannt.</w:t>
      </w:r>
    </w:p>
    <w:p>
      <w:r>
        <w:t xml:space="preserve">(2) Die Landesanwälte müssen die Befähigung zum Richteramt besitzen oder die Voraussetzungen des § 174 VwGO erfüllen.</w:t>
      </w:r>
    </w:p>
    <w:p>
      <w:r>
        <w:t xml:space="preserve">(3) Die Dienstaufsicht über den Generallandesanwalt übt der Staatsminister des Innern, für Sport und Integration aus. Der Generallandesanwalt ist Dienstvorgesetzter der Beamten der Landesanwaltschaft Bayern. Aufsichtsbehörde in den Fällen, in denen die Befugnisse als Disziplinarbehörde nach § 2 Nr. 2 oder § 5 der Verordnung über die Zuständigkeiten zur Durchführung des Bayerischen Disziplinargesetzes und zur Vertretung des Freistaates Bayern in Disziplinarsachen (ZustV-BayDG) auf die Landesanwaltschaft Bayern übertragen wurden, ist – vorbehaltlich des Satzes 1 – die jeweils zuständige oberste Dienstbehörde. Aufsichtsbehörde in den Fällen, in denen die Disziplinarbefugnisse gemäß § 4 Abs. 2 Satz 1 oder § 5 Satz 1 der Verordnung zur Durchführung des Bayerischen Disziplinargesetzes und zur Vertretung des Freistaates Bayern in Disziplinarsachen für den kommunalen Bereich (DVKommBayDG) auf die Landesanwaltschaft Bayern übertragen wurden, ist das Staatsministerium des Innern, für Sport und Integration. Aufsichtsbehörde in den Fällen, in denen die Disziplinarbefugnisse nach einer weiteren auf Grund des Art. 18 Abs. 5 BayDG erlassenen Rechtsverordnung auf die Landesanwaltschaft Bayern übertragen wurden, ist – vorbehaltlich des Satzes 1 – das jeweils für die Rechtsaufsicht zuständige Staatsministerium.</w:t>
      </w:r>
    </w:p>
    <w:p>
      <w:r>
        <w:t xml:space="preserve">(4) Die Bestimmungen der Geschäftsordnung des Verwaltungsgerichtshofs über die Amtstracht gelten für die Landesanwälte der Landesanwaltschaft Bayern entsprechend.</w:t>
      </w:r>
    </w:p>
    <w:p>
      <w:r>
        <w:rPr>
          <w:color w:val="555555"/>
          <w:sz w:val="17"/>
        </w:rPr>
        <w:t xml:space="preserve">Zitiervorschlag: § 2 LABV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