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LABG (Nordrhein-Westfalen)</w:t>
      </w:r>
    </w:p>
    <w:p>
      <w:r>
        <w:rPr>
          <w:color w:val="555555"/>
          <w:sz w:val="18"/>
        </w:rPr>
        <w:t xml:space="preserve">Lehramtsausbildungsgesetz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12. Mai 2026</w:t>
      </w:r>
    </w:p>
    <w:p>
      <w:r>
        <w:t xml:space="preserve">(Artikel 1 des Gesetzes zur Reform der Lehrerausbildung v. 12.5.2009 (GV.NRW. S. 308))</w:t>
      </w:r>
    </w:p>
    <w:p>
      <w:r>
        <w:rPr>
          <w:color w:val="555555"/>
          <w:sz w:val="17"/>
        </w:rPr>
        <w:t xml:space="preserve">Zitiervorschlag: Eingangsformel LABG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https://recht.nulegal.eu/gesetze/LABG/eingangsformel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