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LABG (Nordrhein-Westfalen) — Förderliche Berufstätigkeit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kann gemäß § 9 Absatz 1 des Landesbeamtengesetzes für das Lehramt an Berufskollegs mit einer beruflichen Fachrichtung bestimmen, dass für eine Unterrichtstätigkeit an die Stelle</w:t>
      </w:r>
    </w:p>
    <w:p>
      <w:r>
        <w:t xml:space="preserve">1. des Studiums einer beruflichen Fachrichtung gemäß § 11 Absatz 6 Nummer 4 andere für die Fachrichtung gleichwertige Studien,</w:t>
      </w:r>
    </w:p>
    <w:p>
      <w:r>
        <w:t xml:space="preserve">2. der Studienabschlüsse nach § 10 eine dem Studium entsprechende Prüfung,</w:t>
      </w:r>
    </w:p>
    <w:p>
      <w:r>
        <w:t xml:space="preserve">3. des Vorbereitungsdienstes und der Staatsprüfung eine mindestens vierjährige förderliche Berufstätigkeit innerhalb oder außerhalb des öffentlichen Dienstes treten können.</w:t>
      </w:r>
    </w:p>
    <w:p>
      <w:r>
        <w:rPr>
          <w:color w:val="555555"/>
          <w:sz w:val="17"/>
        </w:rPr>
        <w:t xml:space="preserve">Zitiervorschlag: § 18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