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LABG (Nordrhein-Westfalen) — Akkreditierung von Studiengängen</w:t>
      </w:r>
    </w:p>
    <w:p>
      <w:r>
        <w:rPr>
          <w:color w:val="555555"/>
          <w:sz w:val="18"/>
        </w:rPr>
        <w:t xml:space="preserve">Lehramtsausbildungsgesetz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Studienabschlüsse nach § 10 eröffnen den Zugang zu einem der Lehrämter nach § 3 Absatz 1, wenn sie in gemäß § 7 des Hochschulgesetzes vom 16. September 2014 (GV. NRW. S. 547) in der jeweils geltenden Fassung akkreditierten Studiengängen erworben wurden. Gegenstand der Akkreditierung und Reakkreditierung sind auch die Prüfungsordnungen der Hochschulen für die einzelnen Fächer; bei Akkreditierungen in den Fächern Kunst und Musik sind die Besonderheiten künstlerischer Praxis zu berücksichtigen. Die durch oder aufgrund dieses Gesetzes gestellten Anforderungen an den Zugang zum Vorbereitungsdienst, die in den Absätzen 2 bis 10 gestellten Anforderungen an Studiengänge sowie bundesweite Vereinbarungen unter den Ländern sind zu beachten. In Verfahren der Akkreditierung und Reakkreditierung wirkt das für Schulen zuständige Ministerium oder eine von ihm benannte Stelle mit. Die Akkreditierung und Reakkreditierung von Master-Studiengängen ist an die Zustimmung des für Schulen zuständigen Ministeriums oder der von ihm benannten Stelle gebunden.</w:t>
      </w:r>
    </w:p>
    <w:p>
      <w:r>
        <w:t xml:space="preserve">(2) Universitäten in Trägerschaft des Landes können Programmakkreditierungen nach Absatz 1 ersetzen durch entsprechende hochschulinterne Akkreditierungen aufgrund einer Systemakkreditierung und einer Vereinbarung mit dem für Schulen zuständigen Ministerium, wenn</w:t>
      </w:r>
    </w:p>
    <w:p>
      <w:r>
        <w:t xml:space="preserve">1. die Beteiligung des für Schulen zuständigen Ministeriums oder einer von ihm benannten Stelle an der regelmäßig wiederkehrenden hochschulinternen Akkreditierung der lehramtsbezogenen Bachelor- und Lehramtsmaster-Studiengänge gesichert ist, und</w:t>
      </w:r>
    </w:p>
    <w:p>
      <w:r>
        <w:t xml:space="preserve">2. der Studienbetrieb der einzelnen Lehramtsmaster-Studiengänge in den Fächern und Bildungswissenschaften wiederkehrend, mindestens im Abstand von acht Jahren, an die hochschulinterne Akkreditierung und die Zustimmung des für Schulen zuständigen Ministeriums zur Akkreditierung gebunden ist. § 7 Absatz 1 des Hochschulgesetzes bleibt unberührt.</w:t>
      </w:r>
    </w:p>
    <w:p>
      <w:r>
        <w:t xml:space="preserve">Die Beteiligung nach Satz 1 Nummer 1 umfasst insbesondere Informationsrechte zur personellen Ausstattung in den Fachdidaktiken und Bildungswissenschaften sowie ein eigenes Recht des für Schulen zuständigen Ministeriums, die Bewertung durch externen wissenschaftlichen Sachverstand verlangen zu können. Die Sätze 1 und 2 sind auch auf wesentliche Änderungen von Studiengängen anzuwenden. Die Neueinrichtung von Studiengängen setzt weiter Akkreditierungen nach Absatz 1 voraus; dies gilt nicht für die Neueinrichtung von Teilstudiengängen in bestehenden kombinatorischen Studiengängen.</w:t>
      </w:r>
    </w:p>
    <w:p>
      <w:r>
        <w:t xml:space="preserve">(3) Das Bachelorstudium enthält bereits lehramtsspezifische Elemente und ist so anzulegen, dass die erworbenen Kompetenzen auch für Berufsfelder außerhalb der Schule befähigen. Das Masterstudium bereitet gezielt auf ein Lehramt vor. Das Studium umfasst am Ausbildungsziel orientierte bildungswissenschaftliche, fachwissenschaftliche und fachdidaktische Studien, in die Praxisphasen einzubeziehen sind. Die Hochschulen können zulassen, dass Leistungen des Bachelorstudiums von einem Studierenden im Rahmen eines vorläufigen Zugangs zum Masterstudium individuell nachgeholt werden, wenn zu erwarten ist, dass sie innerhalb eines Jahres erbracht werden.</w:t>
      </w:r>
    </w:p>
    <w:p>
      <w:r>
        <w:t xml:space="preserve">(4) Das Studium orientiert sich an der Entwicklung der grundlegenden beruflichen Kompetenzen nach § 2 Absatz 2. Die Kompetenzen werden in einem systematischen Aufbau erworben. Dazu entwickeln die Hochschulen im Rahmen der rechtlichen Vorgaben und der bundesweiten Vereinbarungen unter den Ländern über Anforderungen an Bildungswissenschaften und Fächer Curricula.</w:t>
      </w:r>
    </w:p>
    <w:p>
      <w:r>
        <w:t xml:space="preserve">(5) Das Studium gliedert sich in Lehreinheiten (Module) gemäß § 60 Absatz 3 des Hochschulgesetzes; die Module des Masterstudiums werden in der Regel jeweils mit einer Modulabschlussprüfung abgeschlossen, die als solche im Diplomzusatz (Diploma Supplement) ausgewiesen ist und den Kompetenzerwerb im gesamten Modul abbildet. In den Fächern Kunst und Musik können die Besonderheiten künstlerischer Praxis berücksichtigt werden. Den einzelnen Studien- und Prüfungsleistungen sind Leistungspunkte nach den im European Credit Transfer System festgelegten Kriterien zugeordnet.</w:t>
      </w:r>
    </w:p>
    <w:p>
      <w:r>
        <w:t xml:space="preserve">(6) Das Studium für die einzelnen Lehrämter umfasst sowohl im Bachelor-Studiengang als auch im Master-Studiengang neben dem bildungswissenschaftlichen Studium und den in Verantwortung der Hochschulen liegenden Praxiselementen folgende Bestandteile:</w:t>
      </w:r>
    </w:p>
    <w:p>
      <w:r>
        <w:t xml:space="preserve">1. für das Lehramt an Grundschulen das Studium der Lernbereiche Sprachliche Grundbildung und Mathematische Grundbildung und eines weiteren Lernbereichs oder Unterrichtsfachs jeweils einschließlich der Fachdidaktik; das bildungswissenschaftliche Studium ist auf das frühe Lernen konzentriert und enthält elementarpädagogische und förderpädagogische Schwerpunkte,</w:t>
      </w:r>
    </w:p>
    <w:p>
      <w:r>
        <w:t xml:space="preserve">2. für das Lehramt an Haupt-, Real-, Sekundar- und Gesamtschulen das Studium von zwei Unterrichtsfächern einschließlich der Fachdidaktik,</w:t>
      </w:r>
    </w:p>
    <w:p>
      <w:r>
        <w:t xml:space="preserve">3. für das Lehramt an Gymnasien und Gesamtschulen das Studium von zwei Unterrichtsfächern einschließlich der Fachdidaktik; an die Stelle von zwei Unterrichtsfächern kann nach Maßgabe der Verordnung nach § 9 Absatz 2 das Fach Kunst oder das Fach Musik treten; an die Stelle eines Unterrichtsfaches kann eine sonderpädagogische Fachrichtung treten,</w:t>
      </w:r>
    </w:p>
    <w:p>
      <w:r>
        <w:t xml:space="preserve">4. für das Lehramt an Berufskollegs das Studium der Berufspädagogik sowie das Studium von zwei beruflichen Fachrichtungen oder eines Unterrichtsfaches und einer beruflichen Fachrichtung oder zweier Unterrichtsfächer jeweils einschließlich der Fachdidaktik; das Studium einer beruflichen Fachrichtung oder eines Unterrichtsfaches kann mit dem Studium einer sonderpädagogischen Fachrichtung verbunden werden,</w:t>
      </w:r>
    </w:p>
    <w:p>
      <w:r>
        <w:t xml:space="preserve">5. für das Lehramt für sonderpädagogische Förderung das Studium von einem Unterrichtsfach einschließlich der Fachdidaktik und das Studium von zwei sonderpädagogischen Fachrichtungen.</w:t>
      </w:r>
    </w:p>
    <w:p>
      <w:r>
        <w:t xml:space="preserve">(7) Leistungen in Lernbereichen, Unterrichtsfächern und sonderpädagogischen Fachrichtungen sowie in Bildungswissenschaften sind zu einem Anteil von mindestens einem Fünftel im Masterstudium (ohne Berücksichtigung des Praxissemesters) zu erbringen.</w:t>
      </w:r>
    </w:p>
    <w:p>
      <w:r>
        <w:t xml:space="preserve">(8) Leistungen in Deutsch für Schülerinnen und Schüler mit Zuwanderungsgeschichte sind für alle Lehrämter zu erbringen.</w:t>
      </w:r>
    </w:p>
    <w:p>
      <w:r>
        <w:t xml:space="preserve">(9) Sofern eine Hochschule eine fachlich übergreifende Perspektive auf alle Aspekte von Vielfalt der Schülerinnen und Schüler verfolgt und durch ein inhaltlich abgestimmtes und zentral in der Hochschule verantwortetes Studienangebot umsetzt, wird diese Entwicklung bezüglich lehramtsbezogener Aspekte von dem für Schulen zuständigen Ministerium beratend begleitet.</w:t>
      </w:r>
    </w:p>
    <w:p>
      <w:r>
        <w:t xml:space="preserve">(10) Das Studium moderner Fremdsprachen umfasst mindestens einen Auslandsaufenthalt von drei Monaten Dauer in einem Land, in dem die studierte Sprache als Landessprache gesprochen wird; Hochschulen können im Einzelfall eine Ausnahme vom Auslandsaufenthalt zulassen, wenn eine in der Person der oder des Studierenden oder in der Person nächster Angehöriger begründete schwerwiegende Mobilitätseinschränkung vorliegt und die Ausnahmegenehmigung dokumentiert wird.</w:t>
      </w:r>
    </w:p>
    <w:p>
      <w:r>
        <w:t xml:space="preserve">(11) In den Unterrichtsfächern Kunst, Musik und Sport kann bereits der Zugang zum Studium auf dem Nachweis der Eignung für diese Studiengänge beruhen; die Zugangsanforderungen sind in diesem Fall nach Lehrämtern zu unterscheiden; der Abschluss des Studiums beruht auch auf fachpraktischen Prüfungsleistungen.</w:t>
      </w:r>
    </w:p>
    <w:p>
      <w:r>
        <w:rPr>
          <w:color w:val="555555"/>
          <w:sz w:val="17"/>
        </w:rPr>
        <w:t xml:space="preserve">Zitiervorschlag: § 11 LABG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