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LAArchV</w:t>
      </w:r>
    </w:p>
    <w:p>
      <w:r>
        <w:rPr>
          <w:color w:val="555555"/>
          <w:sz w:val="18"/>
        </w:rPr>
        <w:t xml:space="preserve">Lastenausgleichsarchiv-Verordnung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1 Abs. 3 des Gesetzes über die zentrale Archivierung von Unterlagen aus dem Bereich des Kriegsfolgenrechts vom 6. Januar 1988 (BGBl. I S. 65) wird mit Zustimmung des Bundesrates verordnet:</w:t>
      </w:r>
    </w:p>
    <w:p>
      <w:r>
        <w:rPr>
          <w:color w:val="555555"/>
          <w:sz w:val="17"/>
        </w:rPr>
        <w:t xml:space="preserve">Zitiervorschlag: Eingangsformel LAArchV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https://recht.nulegal.eu/gesetze/LAArchV/eingangsformel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