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Ausgleichsämter haben vor Abgabe der in § 3 Abs. 1 bezeichneten Akten einen Vordruck nach Anlage 1 zu dieser Verordnung in zweifacher Ausfertigung auszufüllen. Die erste Ausfertigung ist dem Lastenausgleichsarchiv gesondert zu übersenden, die zweite Ausfertigung ist der jeweiligen Akte beizuheften.</w:t>
      </w:r>
    </w:p>
    <w:p>
      <w:r>
        <w:t xml:space="preserve">(2) Die nach § 3 Abs. 2 abzugebenden Akten sind in einem Verzeichnis nach Anlage 2 dieser Verordnung, die nach den §§ 4 und 5 abzugebenden Unterlagen sind in ein Verzeichnis nach Anlage 3 zu dieser Verordnung aufzunehmen.</w:t>
      </w:r>
    </w:p>
    <w:p>
      <w:r>
        <w:rPr>
          <w:color w:val="555555"/>
          <w:sz w:val="17"/>
        </w:rPr>
        <w:t xml:space="preserve">Zitiervorschlag: § 6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