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nachstehend aufgeführten Bereichen des Lastenausgleichs, insbesondere der Gewährung von Ausgleichsleistungen, übernimmt das Lastenausgleichsarchiv ausgewählte Unterlagen:</w:t>
      </w:r>
    </w:p>
    <w:p>
      <w:pPr>
        <w:ind w:left="420"/>
      </w:pPr>
      <w:r>
        <w:t xml:space="preserve">1. Mieterdarlehen,</w:t>
      </w:r>
    </w:p>
    <w:p>
      <w:pPr>
        <w:ind w:left="420"/>
      </w:pPr>
      <w:r>
        <w:t xml:space="preserve">2. Altsparergesetz,</w:t>
      </w:r>
    </w:p>
    <w:p>
      <w:pPr>
        <w:ind w:left="420"/>
      </w:pPr>
      <w:r>
        <w:t xml:space="preserve">3. Soforthilfegesetz,</w:t>
      </w:r>
    </w:p>
    <w:p>
      <w:pPr>
        <w:ind w:left="420"/>
      </w:pPr>
      <w:r>
        <w:t xml:space="preserve">4. Wohnraumhilfe,</w:t>
      </w:r>
    </w:p>
    <w:p>
      <w:pPr>
        <w:ind w:left="420"/>
      </w:pPr>
      <w:r>
        <w:t xml:space="preserve">5. Währungsausgleichsgesetz,</w:t>
      </w:r>
    </w:p>
    <w:p>
      <w:pPr>
        <w:ind w:left="420"/>
      </w:pPr>
      <w:r>
        <w:t xml:space="preserve">6. Ausbildungshilfe,</w:t>
      </w:r>
    </w:p>
    <w:p>
      <w:pPr>
        <w:ind w:left="420"/>
      </w:pPr>
      <w:r>
        <w:t xml:space="preserve">7. Beschwerdeausschüsse,</w:t>
      </w:r>
    </w:p>
    <w:p>
      <w:pPr>
        <w:ind w:left="420"/>
      </w:pPr>
      <w:r>
        <w:t xml:space="preserve">8. Arbeitsplatzdarlehen,</w:t>
      </w:r>
    </w:p>
    <w:p>
      <w:pPr>
        <w:ind w:left="420"/>
      </w:pPr>
      <w:r>
        <w:t xml:space="preserve">9. Heimförderung,</w:t>
      </w:r>
    </w:p>
    <w:p>
      <w:pPr>
        <w:ind w:left="420"/>
      </w:pPr>
      <w:r>
        <w:t xml:space="preserve">10. Hausratentschädigung,</w:t>
      </w:r>
    </w:p>
    <w:p>
      <w:pPr>
        <w:ind w:left="420"/>
      </w:pPr>
      <w:r>
        <w:t xml:space="preserve">11. Aufbaudarlehen Gewerbe,</w:t>
      </w:r>
    </w:p>
    <w:p>
      <w:pPr>
        <w:ind w:left="420"/>
      </w:pPr>
      <w:r>
        <w:t xml:space="preserve">12. Aufbaudarlehen Wohnungsbau,</w:t>
      </w:r>
    </w:p>
    <w:p>
      <w:pPr>
        <w:ind w:left="420"/>
      </w:pPr>
      <w:r>
        <w:t xml:space="preserve">13. Aufbaudarlehen Landwirtschaft,</w:t>
      </w:r>
    </w:p>
    <w:p>
      <w:pPr>
        <w:ind w:left="420"/>
      </w:pPr>
      <w:r>
        <w:t xml:space="preserve">14. Kriegsschadenrente,</w:t>
      </w:r>
    </w:p>
    <w:p>
      <w:pPr>
        <w:ind w:left="420"/>
      </w:pPr>
      <w:r>
        <w:t xml:space="preserve">15. Schadensfeststellung nach dem Feststellungsgesetz (soweit nicht von § 3 erfaßt),</w:t>
      </w:r>
    </w:p>
    <w:p>
      <w:pPr>
        <w:ind w:left="420"/>
      </w:pPr>
      <w:r>
        <w:t xml:space="preserve">16. Hauptentschädigung,</w:t>
      </w:r>
    </w:p>
    <w:p>
      <w:pPr>
        <w:ind w:left="420"/>
      </w:pPr>
      <w:r>
        <w:t xml:space="preserve">17. Mehrfachleistungen,</w:t>
      </w:r>
    </w:p>
    <w:p>
      <w:pPr>
        <w:ind w:left="420"/>
      </w:pPr>
      <w:r>
        <w:t xml:space="preserve">18. Härtefonds-Flüchtlingshilfegesetz,</w:t>
      </w:r>
    </w:p>
    <w:p>
      <w:pPr>
        <w:ind w:left="420"/>
      </w:pPr>
      <w:r>
        <w:t xml:space="preserve">19. Vertreter der Interessen des Ausgleichsfonds (VIA),</w:t>
      </w:r>
    </w:p>
    <w:p>
      <w:pPr>
        <w:ind w:left="420"/>
      </w:pPr>
      <w:r>
        <w:t xml:space="preserve">20. Reparationsschädengesetz (soweit nicht von § 3 Abs. 1 erfaßt).</w:t>
      </w:r>
    </w:p>
    <w:p>
      <w:r>
        <w:t xml:space="preserve">Dabei ist neben der Arbeitsweise der Ausgleichsverwaltung insbesondere die wirtschaftliche und gesellschaftliche Eingliederung des begünstigten Personenkreises darzustellen.</w:t>
      </w:r>
    </w:p>
    <w:p>
      <w:r>
        <w:rPr>
          <w:color w:val="555555"/>
          <w:sz w:val="17"/>
        </w:rPr>
        <w:t xml:space="preserve">Zitiervorschlag: § 5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