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Heimatauskunftsstellen (§ 25 des Feststellungsgesetzes) und die Auskunftsstellen (§ 28 des Beweissicherungs- und Feststellungsgesetzes) übergeben dem Lastenausgleichsarchiv</w:t>
      </w:r>
    </w:p>
    <w:p>
      <w:pPr>
        <w:ind w:left="420"/>
      </w:pPr>
      <w:r>
        <w:t xml:space="preserve">1. Grund- und Betriebslisten,</w:t>
      </w:r>
    </w:p>
    <w:p>
      <w:pPr>
        <w:ind w:left="420"/>
      </w:pPr>
      <w:r>
        <w:t xml:space="preserve">2. Kartenmaterial,</w:t>
      </w:r>
    </w:p>
    <w:p>
      <w:pPr>
        <w:ind w:left="420"/>
      </w:pPr>
      <w:r>
        <w:t xml:space="preserve">3. Generalakten,</w:t>
      </w:r>
    </w:p>
    <w:p>
      <w:pPr>
        <w:ind w:left="420"/>
      </w:pPr>
      <w:r>
        <w:t xml:space="preserve">4. sonstige Unterlagen, die nach Inhalt und Zweck zu den in das Lastenausgleichsarchiv zu überführenden Unterlagen gehören.</w:t>
      </w:r>
    </w:p>
    <w:p>
      <w:r>
        <w:t xml:space="preserve">(2) Die Vororte (§ 7 Abs. 1 Satz 2 der Zweiten Rechtsverordnung des Präsidenten des Bundesausgleichsamtes zur Durchführung des Feststellungsgesetzes) übergeben dem Lastenausgleichsarchiv</w:t>
      </w:r>
    </w:p>
    <w:p>
      <w:pPr>
        <w:ind w:left="420"/>
      </w:pPr>
      <w:r>
        <w:t xml:space="preserve">1. Generalakten,</w:t>
      </w:r>
    </w:p>
    <w:p>
      <w:pPr>
        <w:ind w:left="420"/>
      </w:pPr>
      <w:r>
        <w:t xml:space="preserve">2. Handakten,</w:t>
      </w:r>
    </w:p>
    <w:p>
      <w:pPr>
        <w:ind w:left="420"/>
      </w:pPr>
      <w:r>
        <w:t xml:space="preserve">3. Betriebs- und Namenskarteien.</w:t>
      </w:r>
    </w:p>
    <w:p>
      <w:r>
        <w:t xml:space="preserve">(3) Die Ausgleichsämter, die gemäß § 31 Abs. 2 des Feststellungsgesetzes, § 33 Abs. 2 des Beweissicherungs- und Feststellungsgesetzes und § 54 Abs. 4 des Reparationsschädengesetzes für die einheitliche Feststellung von Schäden an Anteilsrechten an Kapitalgesellschaften zuständig sind, geben die für die Bewertung der einzelnen Anteilsrechte maßgebenden Akten (Hauptakten, Stammakten, Leitakten) ab.</w:t>
      </w:r>
    </w:p>
    <w:p>
      <w:r>
        <w:rPr>
          <w:color w:val="555555"/>
          <w:sz w:val="17"/>
        </w:rPr>
        <w:t xml:space="preserve">Zitiervorschlag: § 4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