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LAArchV</w:t>
      </w:r>
    </w:p>
    <w:p>
      <w:r>
        <w:rPr>
          <w:color w:val="555555"/>
          <w:sz w:val="18"/>
        </w:rPr>
        <w:t xml:space="preserve">Lastenausgleichsarchiv-Verordnung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in dieser Verordnung genannten Gesetze werden nach Maßgabe des § 8 des Lastenausgleichsgesetzes bezeichnet.</w:t>
      </w:r>
    </w:p>
    <w:p>
      <w:r>
        <w:t xml:space="preserve">(2) In § 3 werden Wirtschaftsgüter, die zum land- und forstwirtschaftlichen Vermögen, zum Grundvermögen und zum Betriebsvermögen im Sinne des Bewertungsgesetzes gehören, als Einheitswertvermögen bezeichnet.</w:t>
      </w:r>
    </w:p>
    <w:p>
      <w:r>
        <w:rPr>
          <w:color w:val="555555"/>
          <w:sz w:val="17"/>
        </w:rPr>
        <w:t xml:space="preserve">Zitiervorschlag: § 2 LAArchV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https://recht.nulegal.eu/gesetze/LAArchV/2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