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LAAbkErgAbkCHEG</w:t>
      </w:r>
    </w:p>
    <w:p>
      <w:r>
        <w:rPr>
          <w:color w:val="555555"/>
          <w:sz w:val="18"/>
        </w:rPr>
        <w:t xml:space="preserve">Gesetz zu dem Abkommen vom 16. März 1962 zur Ergänzung des Abkommens vom 26. August 1952 zwischen der Bundesrepublik Deutschland und der Schweizerischen Eidgenossenschaft zum deutschen Lastenausgleich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Abkommen wird vom Inkrafttreten des Lastenausgleichsgesetzes vom 14. August 1952 (BGBl. I S. 446) an (§ 375 des Lastenausgleichsgesetzes) angewendet. Für die Anwendung der §§ 266, 272, 273, 280 und 282 des Lastenausgleichsgesetzes gilt das Abkommen vom 1. Juni 1961 an.</w:t>
      </w:r>
    </w:p>
    <w:p>
      <w:r>
        <w:rPr>
          <w:color w:val="555555"/>
          <w:sz w:val="17"/>
        </w:rPr>
        <w:t xml:space="preserve">Zitiervorschlag: Art 2 LAAbkErgAbkCHEG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https://recht.nulegal.eu/gesetze/LAAbkErgAbkCHEG/2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