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LärmschutzV</w:t>
      </w:r>
    </w:p>
    <w:p>
      <w:r>
        <w:rPr>
          <w:color w:val="555555"/>
          <w:sz w:val="18"/>
        </w:rPr>
        <w:t xml:space="preserve">Landeplatz-LärmschutzV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32 Abs. 1 Satz 1 Nr. 15 und Satz 5 des Luftverkehrsgesetzes in der Fassung der Bekanntmachung vom 14. Januar 1981 (BGBl. I S. 61), Satz 5 zuletzt geändert durch Artikel 45 der Verordnung vom 21. September 1997 (BGBl. I S. 2390) in Verbindung mit Artikel 56 des Zuständigkeitsanpassungs-Gesetzes vom 18. März 1975 (BGBl. I S. 705) und dem Organisationserlaß vom 27. Oktober 1998 (BGBl. I S. 3288) verordnen das Bundesministerium für Verkehr, Bau- und Wohnungswesen und das Bundesministerium für Umwelt, Naturschutz und Reaktorsicherheit nach Anhörung des Beratenden Ausschusses nach § 32a des Luftverkehrsgesetzes:</w:t>
      </w:r>
    </w:p>
    <w:p>
      <w:r>
        <w:rPr>
          <w:color w:val="555555"/>
          <w:sz w:val="17"/>
        </w:rPr>
        <w:t xml:space="preserve">Zitiervorschlag: Eingangsformel LärmschutzV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https://recht.nulegal.eu/gesetze/L%C3%A4rmschutzV/eingangsformel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