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KyotoProtAnpfondsG — Inkrafttreten</w:t>
      </w:r>
    </w:p>
    <w:p>
      <w:r>
        <w:rPr>
          <w:color w:val="555555"/>
          <w:sz w:val="18"/>
        </w:rPr>
        <w:t xml:space="preserve">Gesetz zur Verleihung der Rechtsfähigkeit an den Rat des Anpassungsfonds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 4 KyotoProtAnpfondsG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https://recht.nulegal.eu/gesetze/KyotoProtAnpfondsG/4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