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KurtaxV (Bayern)</w:t>
      </w:r>
    </w:p>
    <w:p>
      <w:r>
        <w:rPr>
          <w:color w:val="555555"/>
          <w:sz w:val="18"/>
        </w:rPr>
        <w:t xml:space="preserve">Kurtax-Verordnung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24 Abs. 1 und 3 des Kostengesetzes (KG) vom 20. Februar 1998 (GVBl S. 43, BayRS 2013-1-1-F), zuletzt geändert durch Art. 16 des Gesetzes vom 14. April 2011 (GVBl S. 150),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KurtaxV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https://recht.nulegal.eu/gesetze/KurtaxV/eingangsformel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