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KurtaxV (Bayern) — Meldeformulare</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Meldeformulare werden als fortlaufend nummerierte Wertscheine erstellt und herausgegeben. Sie sind ausschließlich bei der Erhebungsberechtigten zu beziehen. Fehlerhaft ausgefüllte oder durch Beschädigung unbrauchbar gewordene Meldescheine sind der Erhebungsberechtigten unverzüglich zurückzugeben.</w:t>
      </w:r>
    </w:p>
    <w:p>
      <w:r>
        <w:t xml:space="preserve">(2) Bei Einsatz eines EDV-gestützten Meldesystems werden die Meldeformulare ausschließlich mittels einer von der Erhebungsberechtigten an die Vermieter ausgegebenen Melde-Software erstellt, mit fortlaufender Meldescheinnummer versehen und über Drucker ausgegeben.</w:t>
      </w:r>
    </w:p>
    <w:p>
      <w:r>
        <w:rPr>
          <w:color w:val="555555"/>
          <w:sz w:val="17"/>
        </w:rPr>
        <w:t xml:space="preserve">Zitiervorschlag: § 9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