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KurtaxV (Bayern) — Höhe der Kurtaxe</w:t>
      </w:r>
    </w:p>
    <w:p>
      <w:r>
        <w:rPr>
          <w:color w:val="555555"/>
          <w:sz w:val="18"/>
        </w:rPr>
        <w:t xml:space="preserve">Kurtax-Verordnung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Kurtaxe wird nach der Anzahl der Aufenthaltstage berechnet, längstens jedoch für 42 Tage im Kalenderjahr. Die Kurtaxe für den Abreisetag ist mit der Kurtaxe für den Anreisetag abgegolten.</w:t>
      </w:r>
    </w:p>
    <w:p>
      <w:r>
        <w:t xml:space="preserve">(2) Die Höhe der Kurtaxe pro Aufenthaltstag ergibt sich aus Anlage 2 .</w:t>
      </w:r>
    </w:p>
    <w:p>
      <w:r>
        <w:rPr>
          <w:color w:val="555555"/>
          <w:sz w:val="17"/>
        </w:rPr>
        <w:t xml:space="preserve">Zitiervorschlag: § 5 KurtaxV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https://recht.nulegal.eu/gesetze/KurtaxV/5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