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KurtaxV (Bayern) — Kurtaxe</w:t>
      </w:r>
    </w:p>
    <w:p>
      <w:r>
        <w:rPr>
          <w:color w:val="555555"/>
          <w:sz w:val="18"/>
        </w:rPr>
        <w:t xml:space="preserve">Kurtax-Verordnung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den Kurbezirken der Staatsbäder Bad Reichenhall, Bad Bocklet, Bad Steben, Bad Kissingen und Bad Brückenau wird für die Bereitstellung von Einrichtungen, die zu Kur- oder Erholungszwecken unterhalten werden, eine Kurtaxe erhoben. Die Kurtaxe ist ein öffentlich-rechtlicher Beitrag, der personenbezogen erhoben wird.</w:t>
      </w:r>
    </w:p>
    <w:p>
      <w:r>
        <w:t xml:space="preserve">(2) Für die Benutzung besonderer Einrichtungen und für Veranstaltungen, die besondere Aufwendungen erfordern, kann ein Entgelt gefordert werden.</w:t>
      </w:r>
    </w:p>
    <w:p>
      <w:r>
        <w:rPr>
          <w:color w:val="555555"/>
          <w:sz w:val="17"/>
        </w:rPr>
        <w:t xml:space="preserve">Zitiervorschlag: § 1 KurtaxV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https://recht.nulegal.eu/gesetze/KurtaxV/1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