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KunstUrhG</w:t>
      </w:r>
    </w:p>
    <w:p>
      <w:r>
        <w:rPr>
          <w:color w:val="555555"/>
          <w:sz w:val="18"/>
        </w:rPr>
        <w:t xml:space="preserve">Gesetz betreffend das Urheberrecht an Werken der bildenden Künste und der Photographie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Anspruch auf Schadensersatz und die Strafverfolgung wegen widerrechtlicher Verbreitung oder Vorführung eines Werkes sowie die Strafverfolgung wegen widerrechtlicher Verbreitung oder Schaustellung eines Bildnisses verjähren in drei Jahren.</w:t>
      </w:r>
    </w:p>
    <w:p>
      <w:r>
        <w:t xml:space="preserve">(2) Die Verjährung beginnt mit dem Tage, an welchem die widerrechtliche Handlung zuletzt stattgefunden hat.</w:t>
      </w:r>
    </w:p>
    <w:p>
      <w:r>
        <w:rPr>
          <w:color w:val="555555"/>
          <w:sz w:val="17"/>
        </w:rPr>
        <w:t xml:space="preserve">Zitiervorschlag: § 48 KunstUrhG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https://recht.nulegal.eu/gesetze/KunstUrhG/48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