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44 KunstUrhG</w:t>
      </w:r>
    </w:p>
    <w:p>
      <w:r>
        <w:rPr>
          <w:color w:val="555555"/>
          <w:sz w:val="18"/>
        </w:rPr>
        <w:t xml:space="preserve">Gesetz betreffend das Urheberrecht an Werken der bildenden Künste und der Photographie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42, 43 finden auf die Verfolgung des in § 38 bezeichneten Rechtes entsprechende Anwendung.</w:t>
      </w:r>
    </w:p>
    <w:p>
      <w:r>
        <w:rPr>
          <w:color w:val="555555"/>
          <w:sz w:val="17"/>
        </w:rPr>
        <w:t xml:space="preserve">Zitiervorschlag: § 44 KunstUrhG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https://recht.nulegal.eu/gesetze/KunstUrhG/44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44 KunstUrhG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