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KunstUrhG</w:t>
      </w:r>
    </w:p>
    <w:p>
      <w:r>
        <w:rPr>
          <w:color w:val="555555"/>
          <w:sz w:val="18"/>
        </w:rPr>
        <w:t xml:space="preserve">Gesetz betreffend das Urheberrecht an Werken der bildenden Künste und der Photographie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einem Jahr oder mit Geldstrafe wird bestraft, wer entgegen den §§ 22, 23 ein Bildnis verbreitet oder öffentlich zur Schau stellt.</w:t>
      </w:r>
    </w:p>
    <w:p>
      <w:r>
        <w:t xml:space="preserve">(2) Die Tat wird nur auf Antrag verfolgt.</w:t>
      </w:r>
    </w:p>
    <w:p>
      <w:r>
        <w:rPr>
          <w:color w:val="555555"/>
          <w:sz w:val="17"/>
        </w:rPr>
        <w:t xml:space="preserve">Zitiervorschlag: § 33 KunstUrhG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https://recht.nulegal.eu/gesetze/KunstUrhG/33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