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KunstSchAbkG</w:t>
      </w:r>
    </w:p>
    <w:p>
      <w:r>
        <w:rPr>
          <w:color w:val="555555"/>
          <w:sz w:val="18"/>
        </w:rPr>
        <w:t xml:space="preserve">Gesetz zu dem Internationalen Abkommen vom 26. Oktober 1961 über den Schutz der ausübenden Künstler, der Hersteller von Tonträgern und der Sendeunternehmen</w:t>
      </w:r>
    </w:p>
    <w:p>
      <w:r>
        <w:rPr>
          <w:color w:val="555555"/>
          <w:sz w:val="18"/>
        </w:rPr>
        <w:t xml:space="preserve">Stand: 10.06.2019 (konsolidierte Textfassung, kein amtliches Inkrafttretensdatum)</w:t>
      </w:r>
    </w:p>
    <w:p>
      <w:r>
        <w:t xml:space="preserve">Die Bestimmungen des Abkommens sind auf Darbietungen oder Funksendungen, die stattgefunden haben, bevor das Abkommen für die Bundesrepublik Deutschland in Kraft getreten ist, und Tonträger, die vor diesem Zeitpunkt festgelegt sind, nicht anzuwenden.</w:t>
      </w:r>
    </w:p>
    <w:p>
      <w:r>
        <w:rPr>
          <w:color w:val="555555"/>
          <w:sz w:val="17"/>
        </w:rPr>
        <w:t xml:space="preserve">Zitiervorschlag: Art 4 KunstSchAbkG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https://recht.nulegal.eu/gesetze/KunstSchAbkG/4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