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KunstSchAbkG</w:t>
      </w:r>
    </w:p>
    <w:p>
      <w:r>
        <w:rPr>
          <w:color w:val="555555"/>
          <w:sz w:val="18"/>
        </w:rPr>
        <w:t xml:space="preserve">Gesetz zu dem Internationalen Abkommen vom 26. Oktober 1961 über den Schutz der ausübenden Künstler, der Hersteller von Tonträgern und der Sendeunternehmen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 Artikel 13 Buchstabe d des Abkommens vorgesehene Schutz gegen die öffentliche Wiedergabe von Fernsehsendungen wird für Fernsehsendungen eines Sendeunternehmens mit Sitz im Gebiet eines Staates, der von dem Vorbehalt des Artikels 16 Abs. 1 Buchstabe b des Abkommens Gebrauch gemacht hat, nicht gewährt.</w:t>
      </w:r>
    </w:p>
    <w:p>
      <w:r>
        <w:rPr>
          <w:color w:val="555555"/>
          <w:sz w:val="17"/>
        </w:rPr>
        <w:t xml:space="preserve">Zitiervorschlag: Art 3 KunstSchAbkG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https://recht.nulegal.eu/gesetze/KunstSchAbkG/3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