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KunstHG (Nordrhein-Westfalen)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März 2008</w:t>
      </w:r>
    </w:p>
    <w:p>
      <w:r>
        <w:t xml:space="preserve">(Artikel 1 des Gesetzes zur Neuregelung des Kunsthochschulrechts</w:t>
      </w:r>
    </w:p>
    <w:p>
      <w:r>
        <w:t xml:space="preserve">vom 13. März 2008 (GV. NRW. S. 195))</w:t>
      </w:r>
    </w:p>
    <w:p>
      <w:r>
        <w:rPr>
          <w:color w:val="555555"/>
          <w:sz w:val="17"/>
        </w:rPr>
        <w:t xml:space="preserve">Zitiervorschlag: Eingangsformel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