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KunstHG (Nordrhein-Westfalen) — Verwaltungsvorschriften, Ministerium, Gebühren für Amtshandlungen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Ausführung dieses Gesetzes erforderlichen Verwaltungsvorschriften erlässt das Ministerium.</w:t>
      </w:r>
    </w:p>
    <w:p>
      <w:r>
        <w:t xml:space="preserve">(2) Ministerium im Sinne dieses Gesetzes ist das Ministerium für Innovation, Wissenschaft, Forschung und Technologie des Landes Nordrhein-Westfalen.</w:t>
      </w:r>
    </w:p>
    <w:p>
      <w:r>
        <w:t xml:space="preserve">(3) Für Amtshandlungen des Ministeriums können Gebühren erhoben werden. Das Ministerium wird ermächtigt, durch Rechtsverordnung Gebührentatbestände festzulegen und die Gebührensätze zu bestimmen. Die §§ 3 bis 22 des Gebührengesetzes für das Land Nordrhein-Westfalen finden entsprechende Anwendung, soweit gesetzlich oder in der Rechtsverordnung nichts anderes bestimmt ist. Staatliche Kunsthochschulen sind von Gebühren nach Satz 1 befreit, sofern die Amtshandlung nicht ihre wirtschaftlichen Unternehmen betrifft.</w:t>
      </w:r>
    </w:p>
    <w:p>
      <w:r>
        <w:rPr>
          <w:color w:val="555555"/>
          <w:sz w:val="17"/>
        </w:rPr>
        <w:t xml:space="preserve">Zitiervorschlag: § 73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https://recht.nulegal.eu/gesetze/KunstHG/73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