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KunstHG (Nordrhein-Westfalen) — Vereinbarungen mit den Kirchen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Verträge mit den Kirchen werden durch dieses Gesetz nicht berührt.</w:t>
      </w:r>
    </w:p>
    <w:p>
      <w:r>
        <w:t xml:space="preserve">(2) Rechte und Pflichten, die sich aus Vereinbarungen mit den Kirchen im Hinblick auf das Studium der Kirchenmusik ergeben, sowie die Mitwirkung der Kirchen an Prüfungen in den Studiengängen der Kirchenmusik bleiben unberührt.</w:t>
      </w:r>
    </w:p>
    <w:p>
      <w:r>
        <w:rPr>
          <w:color w:val="555555"/>
          <w:sz w:val="17"/>
        </w:rPr>
        <w:t xml:space="preserve">Zitiervorschlag: § 72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