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KunstHG (Nordrhein-Westfalen) — Aufsicht in staatlichen Angelegenheiten</w:t>
      </w:r>
    </w:p>
    <w:p>
      <w:r>
        <w:rPr>
          <w:color w:val="555555"/>
          <w:sz w:val="18"/>
        </w:rPr>
        <w:t xml:space="preserve">Kunsthochschulgesetz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Wahrnehmung staatlicher Angelegenheiten unterstehen die Kunsthochschulen der Fachaufsicht des Ministeriums; § 13 Absatz 1 und 3 des Landesorganisationsgesetzes und § 68 Absatz 2 bis 4 gelten entsprechend. Vor einer Weisung soll der Kunsthochschule Gelegenheit zur Stellungnahme gegeben werden.</w:t>
      </w:r>
    </w:p>
    <w:p>
      <w:r>
        <w:t xml:space="preserve">(2) Staatliche Angelegenheiten sind:</w:t>
      </w:r>
    </w:p>
    <w:p>
      <w:r>
        <w:t xml:space="preserve">1. die Personalverwaltung;</w:t>
      </w:r>
    </w:p>
    <w:p>
      <w:r>
        <w:t xml:space="preserve">2. die Haushalts- und Wirtschaftsangelegenheiten;</w:t>
      </w:r>
    </w:p>
    <w:p>
      <w:r>
        <w:t xml:space="preserve">3. das Gebührenwesen mit Ausnahme der Erhebung der Studienbeiträge nach dem Studienbeitrags- und Hochschulabgabengesetz sowie das Kassen- und Rechnungswesen;</w:t>
      </w:r>
    </w:p>
    <w:p>
      <w:r>
        <w:t xml:space="preserve">4. die Aufgaben der Berufsbildung nach dem Berufsbildungsgesetz.</w:t>
      </w:r>
    </w:p>
    <w:p>
      <w:r>
        <w:t xml:space="preserve">(3) Bei staatlichen Angelegenheiten sind die für sie allgemein geltenden staatlichen Vorschriften anzuwenden, soweit dieses Gesetz nichts anderes bestimmt.</w:t>
      </w:r>
    </w:p>
    <w:p>
      <w:r>
        <w:rPr>
          <w:color w:val="555555"/>
          <w:sz w:val="17"/>
        </w:rPr>
        <w:t xml:space="preserve">Zitiervorschlag: § 69 KunstHG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https://recht.nulegal.eu/gesetze/KunstHG/69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