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67a KunstHG (Nordrhein-Westfalen) — Sicherer und redlicher Hochschulraum</w:t>
      </w:r>
    </w:p>
    <w:p>
      <w:r>
        <w:rPr>
          <w:color w:val="555555"/>
          <w:sz w:val="18"/>
        </w:rPr>
        <w:t xml:space="preserve">Kunsthochschulgesetz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Teil 10 des Hochschulgesetzes gilt für die Kunsthochschule entsprechend. Das Ministerium kann das Redlichkeits- und das Integritätsverfahren in jeder Lage des Verfahrens im Einzelfall an sich ziehen oder sich dies allgemein vorbehalten. Das Ministerium kann zudem die Durchführung eines Redlichkeits- oder eines Integritätsverfahrens sowie eines Disziplinarverfahrens, welches gegen eine Hochschullehrerin oder einen Hochschullehrer geführt wird oder werden soll, einer anderen Hochschule im Einzelfall oder allgemein übertragen.</w:t>
      </w:r>
    </w:p>
    <w:p>
      <w:r>
        <w:rPr>
          <w:color w:val="555555"/>
          <w:sz w:val="17"/>
        </w:rPr>
        <w:t xml:space="preserve">Zitiervorschlag: § 67a KunstHG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https://recht.nulegal.eu/gesetze/KunstHG/67a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