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KunstHG (Nordrhein-Westfalen) — Bewirtschaftung der Haushaltsmittel</w:t>
      </w:r>
    </w:p>
    <w:p>
      <w:r>
        <w:rPr>
          <w:color w:val="555555"/>
          <w:sz w:val="18"/>
        </w:rPr>
        <w:t xml:space="preserve">Kunsthochschulgesetz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Bewirtschaftung der Haushaltsmittel obliegt der Kanzlerin oder dem Kanzler.</w:t>
      </w:r>
    </w:p>
    <w:p>
      <w:r>
        <w:t xml:space="preserve">(2) Die Kanzlerin oder der Kanzler kann die Bewirtschaftung auf die Fachbereiche, sonstigen Organisationseinheiten im Sinne des § 24 Absatz 4, zentralen künstlerischen oder wissenschaftlichen Einrichtungen und zentralen Betriebseinheiten unbeschadet ihrer oder seiner Verantwortung nach den allgemeinen landesrechtlichen Bestimmungen übertragen.</w:t>
      </w:r>
    </w:p>
    <w:p>
      <w:r>
        <w:rPr>
          <w:color w:val="555555"/>
          <w:sz w:val="17"/>
        </w:rPr>
        <w:t xml:space="preserve">Zitiervorschlag: § 66 KunstHG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https://recht.nulegal.eu/gesetze/KunstHG/66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