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KunstHG (Nordrhein-Westfalen) — Anmeldung zum Haushalt</w:t>
      </w:r>
    </w:p>
    <w:p>
      <w:r>
        <w:rPr>
          <w:color w:val="555555"/>
          <w:sz w:val="18"/>
        </w:rPr>
        <w:t xml:space="preserve">Kunsthochschulgesetz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Anmeldung der benötigten Stellen und Mittel erfolgt in einem Beitrag der Kunsthochschule zum Haushaltsvoranschlag.</w:t>
      </w:r>
    </w:p>
    <w:p>
      <w:r>
        <w:t xml:space="preserve">(2) Die Kanzlerin oder der Kanzler legt nach Beratung im Rektorat als Beitrag zum Haushaltsvoranschlag die Anmeldung der Kunsthochschule zum Haushalt vor. Der Senat kann zur Anmeldung nach Satz 1 Stellung nehmen.</w:t>
      </w:r>
    </w:p>
    <w:p>
      <w:r>
        <w:rPr>
          <w:color w:val="555555"/>
          <w:sz w:val="17"/>
        </w:rPr>
        <w:t xml:space="preserve">Zitiervorschlag: § 64 KunstHG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https://recht.nulegal.eu/gesetze/KunstHG/64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