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54a KunstHG (Nordrhein-Westfalen) — Studium in Teilzeit; Teilzeitstudium</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 soll das Lehrangebot so organisieren, dass das Studium auch als Teilzeitstudium erfolgen kann.</w:t>
      </w:r>
    </w:p>
    <w:p>
      <w:r>
        <w:t xml:space="preserve">(2) Die Kunsthochschule prüft, ob und inwieweit die von ihr angebotenen Studiengänge für ein Studium in Teilzeit geeignet sind; Absatz 1 bleibt unberührt. Die Liste der für ein Studium in Teilzeit geeigneten Studiengänge ist in geeigneter Weise zu veröffentlichen.</w:t>
      </w:r>
    </w:p>
    <w:p>
      <w:r>
        <w:t xml:space="preserve">(3) In der Prüfungsordnung kann für Studierende in Teilzeit nach § 40 Absatz 7 eine individualisierte Regelstudienzeit in vollen Semestern geregelt werden, deren Dauer dem Verhältnis der Arbeitsbelastung des Studierenden in Teilzeit zu der Arbeitsbelastung eines Studierenden in Vollzeit und damit der generellen Regelstudienzeit dem Verhältnis nach entspricht.</w:t>
      </w:r>
    </w:p>
    <w:p>
      <w:r>
        <w:t xml:space="preserve">(4) Die Einschreibungsordnung kann vorsehen, dass Studierende in Teilzeit nach § 40 Absatz 7 innerhalb ihres gewählten Studienganges nur entsprechend dem Verhältnis der generellen Regelstudienzeit zu ihrer individualisierten Regelstudienzeit zum Besuch von Lehrveranstaltungen berechtigt sind, Studien- und Prüfungsleistungen erbringen können, Teilnahmevoraussetzungen im Sinne des § 56 Absatz 2 Satz 2 Nummer 2 oder Leistungspunkte erwerben oder Prüfungen ablegen können; § 51 bleibt ansonsten unberührt.</w:t>
      </w:r>
    </w:p>
    <w:p>
      <w:r>
        <w:rPr>
          <w:color w:val="555555"/>
          <w:sz w:val="17"/>
        </w:rPr>
        <w:t xml:space="preserve">Zitiervorschlag: § 54a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