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KunstHG (Nordrhein-Westfalen) — Regelstudienzeit</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Regelstudienzeit ist die Studienzeit, innerhalb der ein Studiengang abgeschlossen werden kann. Sie schließt integrierte Auslandssemester, Praxissemester und andere berufspraktische Studienphasen sowie die Prüfungsleistungen ein. Sie ist maßgebend für die Gestaltung der Studiengänge durch die Kunsthochschule, für die Sicherstellung des Lehrangebots, für die Gestaltung des Prüfungsverfahrens sowie für die Ermittlung und Feststellung der Ausbildungskapazitäten und die Berechnung von Studierendenzahlen bei der Hochschulplanung.</w:t>
      </w:r>
    </w:p>
    <w:p>
      <w:r>
        <w:t xml:space="preserve">(1a) Die Regelstudienzeit berechnet sich nach Maßgabe des Absatzes 2 Satz 1 bis 4 oder des Absatzes 3 (generelle Regelstudienzeit) oder nach Maßgabe des § 54a Absatz 3 (individualisierte Regelstudienzeit). Im Falle des § 54a Absatz 3 ist die erhöhte oder die geregelte Regelstudienzeit für die jeweilige Studierende oder den jeweiligen Studierenden die Regelstudienzeit des Studienganges im Sinne des Absatzes 1 Satz 1 und 2.</w:t>
      </w:r>
    </w:p>
    <w:p>
      <w:r>
        <w:t xml:space="preserve">(2) Die generelle Regelstudienzeit in Studiengängen, die mit einem Bachelorgrad abgeschlossen werden und zu einem ersten berufsqualifizierenden Abschluss führen, beträgt mindestens sechs und höchstens acht Semester. In Studiengängen, die mit einem Mastergrad abgeschlossen werden und zu einem weiteren berufsqualifizierenden Abschluss führen, beträgt die generelle Regelstudienzeit mindestens zwei und höchstens vier Semester; ihnen soll ein mit dem Bachelorgrad abgeschlossener Studiengang vorausgehen. Die generelle Gesamtregelstudienzeit konsekutiver Studiengänge nach Satz 1 und 2 beträgt höchstens zehn Semester. Darüber hinausgehende Regelstudienzeiten können vom Ministerium festgesetzt werden, wenn insgesamt künstlerische Studienanteile vorliegen, die dies begründen. § 54a Absatz 3 bleibt jeweils unberührt.</w:t>
      </w:r>
    </w:p>
    <w:p>
      <w:r>
        <w:t xml:space="preserve">(3) Die Absätze 1 bis 2 gelten entsprechend für Studiengänge, die mit einer durch Landesrecht geregelten staatlichen Prüfung abgeschlossen werden, soweit nicht landes- oder bundesgesetzlich etwas anderes geregelt ist.</w:t>
      </w:r>
    </w:p>
    <w:p>
      <w:r>
        <w:rPr>
          <w:color w:val="555555"/>
          <w:sz w:val="17"/>
        </w:rPr>
        <w:t xml:space="preserve">Zitiervorschlag: § 53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