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KunstHG (Nordrhein-Westfalen) — Freiheit der Kunst und der Wissenschaft</w:t>
      </w:r>
    </w:p>
    <w:p>
      <w:r>
        <w:rPr>
          <w:color w:val="555555"/>
          <w:sz w:val="18"/>
        </w:rPr>
        <w:t xml:space="preserve">Kunsthochschulgesetz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Freiheit der Kunstausübung umfasst die Herstellung, Verbreitung und Darbietung von Kunstwerken. Die Freiheit künstlerischer Entwicklungsvorhaben und der Forschung umfasst insbesondere Fragestellung, Methodik sowie Bewertung des Ergebnisses und dessen Verbreitung. Die Freiheit der Lehre umfasst insbesondere die Durchführung von Lehrveranstaltungen im Rahmen der zu erfüllenden Lehraufgaben und deren inhaltliche und methodische Gestaltung sowie das Recht auf Äußerung wissenschaftlicher oder künstlerischer Lehrmeinungen. Die Freiheit des Studiums umfasst, unbeschadet der Studien- und Prüfungsordnungen und des Klassenprinzips, insbesondere die freie Wahl von Lehrveranstaltungen, das Recht, innerhalb eines Studienganges Schwerpunkte nach eigener Wahl zu setzen, sowie die Erarbeitung und Äußerung künstlerischer oder wissenschaftlicher Meinungen auch zu Inhalt, Gestaltung und Durchführung von Lehrveranstaltungen.</w:t>
      </w:r>
    </w:p>
    <w:p>
      <w:r>
        <w:t xml:space="preserve">(2) Die Freiheit der Kunstausübung, künstlerischer Entwicklungsvorhaben und der Forschung, der Lehre sowie des Studiums entbindet nicht von der Treue zur Verfassung. Entscheidungen der zuständigen Hochschulorgane sind zulässig, soweit sie sich auf die Organisation des jeweiligen Betriebes sowie dessen ordnungsgemäße Durchführung beziehen. Darüber hinaus sind sie zulässig, soweit sie sich auf die Förderung und Abstimmung von Entwicklungs- und Forschungsvorhaben, die Bildung von Schwerpunkten der Entwicklungsvorhaben und der Forschung sowie auf deren Bewertung gemäß § 7 Absatz 2, auf die Aufstellung und Einhaltung von Studien- und Prüfungsordnungen, die Erfüllung des Weiterbildungsauftrages und auf die Bewertung der Lehre gemäß § 7 Absatz 2 sowie auf die Gewährleistung eines ordnungsgemäßen Studiums einschließlich des Klassenprinzips und der Zuweisung zu einer Klasse nach § 50 Absatz 2 Satz 4 beziehen. Entscheidungen nach den Sätzen 2 und 3 dürfen die Freiheit der Kunstausübung, künstlerischer Entwicklungsvorhaben und der Forschung sowie der Lehre nicht beeinträchtigen.</w:t>
      </w:r>
    </w:p>
    <w:p>
      <w:r>
        <w:t xml:space="preserve">(3) Alle an der Kunsthochschule wissenschaftlich Tätigen sowie die Studierenden sind zu wissenschaftlicher Redlichkeit verpflichtet. Hierzu sind die allgemein anerkannten Grundsätze guter wissenschaftlicher Praxis einzuhalten. Die Kunsthochschulen können das Nähere zu den Sätzen 1 und 2 durch Ordnung regeln. Bei der Veröffentlichung von Forschungsergebnissen werden Personen, die einen eigenen wissenschaftlich relevanten Beitrag geleistet haben, als Mitautorinnen oder Mitautoren genannt. Soweit möglich, wird ihr Beitrag gekennzeichnet. Die disziplinar-, arbeits- und prüfungsrechtlichen Bestimmungen bleiben vorbehaltlich des § 67a unberührt.</w:t>
      </w:r>
    </w:p>
    <w:p>
      <w:r>
        <w:rPr>
          <w:color w:val="555555"/>
          <w:sz w:val="17"/>
        </w:rPr>
        <w:t xml:space="preserve">Zitiervorschlag: § 4 KunstHG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https://recht.nulegal.eu/gesetze/KunstHG/4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