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KunstHG (Nordrhein-Westfalen) — Wahlen zu den Gremien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Vertreterinnen und Vertreter der Mitgliedergruppen im Senat und im Fachbereichsrat werden in unmittelbarer, freier, gleicher und geheimer Wahl von den jeweiligen Mitgliedergruppen getrennt gewählt; Satz 3 und 4 bleiben unberührt. Das Nähere zur Wahl und zur Stellvertretung der gewählten Vertreterinnen und Vertreter regelt die Wahlordnung. Die Wahlordnung kann Briefwahl zulassen oder Regelungen treffen, dass schriftliche Erklärungen in Wahlangelegenheiten durch einfache elektronische Übermittlung, durch mobile Medien oder in elektronischer Form abgegeben werden können. Zur Sicherung der Grundsätze nach Satz 1 regelt das Ministerium durch Rechtsverordnung das Nähere zur Stimmabgabe in elektronischer Form. Sieht die Rechtsverordnung nach Satz 4 die Möglichkeit der Stimmabgabe in elektronischer Form oder die Wahlordnung nach Satz 2 die Möglichkeit der Briefwahl vor, hat die wählende Person oder deren Hilfsperson bei der Stimmabgabe in elektronischer Form oder bei der Briefwahl auf dem Wahlschein zu versichern, dass sie die Stimme persönlich oder als Hilfsperson gemäß dem erklärten Willen der wählenden Person gekennzeichnet habe. Wer die Versicherung nach Satz 5 falsch abgibt, handelt ordnungswidrig. Zuständige Verwaltungsbehörde für die Verfolgung und Ahndung von Ordnungswidrigkeiten nach Satz 6 ist die Kanzlerin oder der Kanzler.</w:t>
      </w:r>
    </w:p>
    <w:p>
      <w:r>
        <w:t xml:space="preserve">(2) Treffen bei einem Mitglied eines Gremiums oder dessen Stellvertretung Wahlmandat und Amtsmandat zusammen, so ruht für die Amtszeit das Wahlmandat. Während dieser Zeit finden die Stellvertretungsregeln für Wahlmitglieder entsprechende Anwendung.</w:t>
      </w:r>
    </w:p>
    <w:p>
      <w:r>
        <w:t xml:space="preserve">(3) Ist bei Ablauf einer Amts- oder Wahlzeit noch kein neues Mitglied bestimmt, so übt das bisherige Mitglied sein Amt weiter aus. Das Ende der Amtszeit des nachträglich gewählten Mitgliedes bestimmt sich so, als ob es sein Amt rechtzeitig angetreten hätte. Scheidet vor Ablauf der Wahlzeit eines Gremiums eines seiner Mitglieder aus, ohne dass ein Mitglied aufgrund einer Stellvertretungsregelung nachrückt, so können die verbleibenden Vertreterinnen und Vertreter derjenigen Gruppe, welcher das ausgeschiedene Mitglied angehörte, aus den Mitgliedern der Kunsthochschule, welche dieser Gruppe angehören, ein Mitglied wählen, welches an die Stelle des ausgeschiedenen Mitglieds tritt (Kooptation). Die Kooptation bedarf der Bestätigung durch das Rektorat. Es ist zulässig, die Kooptation bereits im Vorfeld mit Wirkung zum Zeitpunkt des Ausscheidens durchzuführen; in diesem Fall ist das künftig ausscheidende Mitglied wahlberechtigt. Die Amtszeit des kooptierten Mitglieds bestimmt sich so, als ob es nachgerückt wäre.</w:t>
      </w:r>
    </w:p>
    <w:p>
      <w:r>
        <w:t xml:space="preserve">(4) Wird die Wahl eines Gremiums oder einzelner Mitglieder eines Gremiums nach Amtsantritt für ungültig erklärt, so berührt dieses nicht die Rechtswirksamkeit seiner vorher gefassten Beschlüsse und Amtshandlungen; dies gilt bei einer fehlerhaften Besetzung von Gremien entsprechend.</w:t>
      </w:r>
    </w:p>
    <w:p>
      <w:r>
        <w:t xml:space="preserve">(5) Gremien sind auch dann gesetzmäßig zusammengesetzt, wenn bei einer ordnungsgemäßen Wahl weniger Gremienmitglieder gewählt werden, als der jeweiligen Mitgliedergruppe Sitze zustehen. Gleiches gilt, wenn wahlberechtigte Mitglieder einer Mitgliedergruppe nicht vorhanden sind. Verfügt die Gruppe der Hochschullehrerinnen und Hochschullehrer im Fachbereichsrat nach der Wahl nicht über die Mehrheit der Stimmen der Mitglieder des Gremiums, bestellt das Rektorat die erforderliche Zahl von Vertreterinnen und Vertretern, es sei denn, die Grundordnung sieht eine Nachwahl vor; dies gilt auch, wenn bei Ausscheiden einer Vertreterin oder eines Vertreters der Gruppe der Hochschullehrerinnen und Hochschullehrer wegen des Fehlens eines gewählten Ersatzmitglieds diese Gruppe nicht mehr über die Mehrheit der Stimmen der Mitglieder des Fachbereichsrats verfügen würde.</w:t>
      </w:r>
    </w:p>
    <w:p>
      <w:r>
        <w:rPr>
          <w:color w:val="555555"/>
          <w:sz w:val="17"/>
        </w:rPr>
        <w:t xml:space="preserve">Zitiervorschlag: § 14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