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KunstHG (Nordrhein-Westfalen) — Verfahrensgrundsätze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Organe haben Entscheidungsbefugnisse. Sonstige Gremien, Funktionsträgerinnen und Funktionsträger haben Entscheidungsbefugnisse nur, soweit es in diesem Gesetz bestimmt ist. Gremien, Funktionsträgerinnen und Funktionsträger mit Entscheidungsbefugnissen können zu ihrer Unterstützung beratende Gremien (Kommissionen) bilden. Gremien mit Entscheidungsbefugnissen können darüber hinaus Untergremien mit jederzeit widerruflichen Entscheidungsbefugnissen für bestimmte Aufgaben (Ausschüsse) einrichten. Die stimmberechtigten Mitglieder eines Ausschusses werden nach Gruppen getrennt von ihren jeweiligen Vertreterinnen oder Vertretern im Gremium aus dessen Mitte gewählt. Die Grundordnung kann Kommissionen und Ausschüsse vorsehen. Bei der Wahrnehmung von Entscheidungsbefugnissen ist § 4 zu beachten.</w:t>
      </w:r>
    </w:p>
    <w:p>
      <w:r>
        <w:t xml:space="preserve">(2) Die Sitzungen des Senats und des Fachbereichsrates sind hochschulöffentlich und nach Maßgabe der jeweiligen Geschäftsordnung öffentlich. Das Nähere regeln die jeweiligen Geschäftsordnungen. Personalangelegenheiten und Prüfungssachen sowie Habilitationsleistungen werden in nichtöffentlicher Sitzung behandelt. Entscheidungen in Personalangelegenheiten erfolgen in geheimer Abstimmung. Die übrigen Gremien tagen nichtöffentlich. Für diese Gremien sowie für Senat und Fachbereichsrat kann durch Ordnung oder in der Geschäftsordnung des Gremiums vorgesehen werden, dass die Sitzungen in elektronischer Kommunikation stattfinden dürfen und Beschlüsse in elektronischer Kommunikation oder im Umlaufverfahren gefasst werden dürfen; das Nähere regelt die Ordnung oder Geschäftsordnung. Satz 6 gilt nicht für die Wahl der Mitglieder des Rektorats sowie der Fachbereichsleitung. Werden Beschlüsse des Senats oder des Fachbereichsrats im Umlaufverfahren gefasst, sichert die Hochschule durch geeignete Maßnahmen, dass die Öffentlichkeit über die Beschlüsse hinreichend informiert wird. Die Bild- und Tonübertragung von hochschulöffentlich oder öffentlich stattfindenden Gremiensitzungen ist zulässig.</w:t>
      </w:r>
    </w:p>
    <w:p>
      <w:r>
        <w:t xml:space="preserve">(3) Jedes überstimmte Mitglied kann einen abweichenden Standpunkt in einem schriftlichen Sondervotum darlegen, sofern dieses in der Sitzung vorbehalten worden ist. Das Sondervotum ist in die Niederschrift aufzunehmen. Beschlüssen, die anderen Stellen vorzulegen sind, ist das Sondervotum beizufügen.</w:t>
      </w:r>
    </w:p>
    <w:p>
      <w:r>
        <w:t xml:space="preserve">(4) Sitzungen der Gremien finden in regelmäßigen Abständen und nach Bedarf auch innerhalb der vorlesungsfreien Zeiten statt. In unaufschiebbaren Angelegenheiten, in denen ein Beschluss des an sich zuständigen Gremiums nicht rechtzeitig herbeigeführt werden kann, entscheidet die oder der Vorsitzende des Gremiums. Das gilt nicht für Wahlen. Die oder der Vorsitzende des Gremiums hat dem Gremium unverzüglich die Gründe für die getroffene Entscheidung und die Art der Erledigung mitzuteilen.</w:t>
      </w:r>
    </w:p>
    <w:p>
      <w:r>
        <w:t xml:space="preserve">(5) Die Verletzung von Verfahrens- oder Formvorschriften dieses Gesetzes oder des Ordnungs- oder des sonstigen autonomen Rechts der Hochschule kann gegen eine Ordnung der Hochschule nach Ablauf eines Jahres seit ihrer Bekanntmachung nicht mehr geltend gemacht werden, es sei denn,</w:t>
      </w:r>
    </w:p>
    <w:p>
      <w:r>
        <w:t xml:space="preserve">1. die Ordnung ist nicht ordnungsgemäß bekannt gemacht worden,</w:t>
      </w:r>
    </w:p>
    <w:p>
      <w:r>
        <w:t xml:space="preserve">2. das Rektorat hat den Beschluss des die Ordnung beschließenden Gremiums vorher beanstandet,</w:t>
      </w:r>
    </w:p>
    <w:p>
      <w:r>
        <w:t xml:space="preserve">3. der Form- oder Verfahrensmangel ist gegenüber der Hochschule vorher gerügt und dabei die verletzte Rechtsvorschrift und die Tatsache bezeichnet worden, die den Mangel ergibt, oder</w:t>
      </w:r>
    </w:p>
    <w:p>
      <w:r>
        <w:t xml:space="preserve">4. bei der öffentlichen Bekanntmachung der Ordnung ist auf die Rechtsfolge des Rügeausschlusses nicht hingewiesen worden.</w:t>
      </w:r>
    </w:p>
    <w:p>
      <w:r>
        <w:t xml:space="preserve">Die aufsichtsrechtlichen Befugnisse nach den §§ 68 und 69 bleiben unberührt.</w:t>
      </w:r>
    </w:p>
    <w:p>
      <w:r>
        <w:t xml:space="preserve">(6) Die Kunsthochschule stellt zur Gewährleistung einer sachgerechten Transparenz sicher, dass ihre Mitglieder und Angehörigen in angemessenem Umfang über die Tätigkeit der Gremien unterrichtet werden.</w:t>
      </w:r>
    </w:p>
    <w:p>
      <w:r>
        <w:rPr>
          <w:color w:val="555555"/>
          <w:sz w:val="17"/>
        </w:rPr>
        <w:t xml:space="preserve">Zitiervorschlag: § 13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