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KundenbTischlPrV</w:t>
      </w:r>
    </w:p>
    <w:p>
      <w:r>
        <w:rPr>
          <w:color w:val="555555"/>
          <w:sz w:val="18"/>
        </w:rPr>
        <w:t xml:space="preserve">Verordnung über die Prüfung zum anerkannten Abschluss Geprüfter Kundenberater/Geprüfte Kundenberaterin im Tischlerhandwerk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42 Abs. 2 Satz 1 der Handwerksordnung in der Fassung der Bekanntmachung vom 24. September 1998 (BGBl. I S. 3074), der zuletzt durch Artikel 1 Nr. 35 des Gesetzes vom 24. Dezember 2003 (BGBl. I S. 2934) geändert worden ist, verordnet das Bundesministerium für Bildung und Forschung nach Anhören des Ständigen Ausschusses des Bundesinstituts für Berufsbildung im Einvernehmen mit dem Bundesministerium für Wirtschaft und Arbeit:</w:t>
      </w:r>
    </w:p>
    <w:p>
      <w:r>
        <w:rPr>
          <w:color w:val="555555"/>
          <w:sz w:val="17"/>
        </w:rPr>
        <w:t xml:space="preserve">Zitiervorschlag: Eingangsformel KundenbTischlPrV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https://recht.nulegal.eu/gesetze/KundenbTischlPrV/eingangsformel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