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KultStG (Brandenburg) — Organe der Stiftung</w:t>
      </w:r>
    </w:p>
    <w:p>
      <w:r>
        <w:rPr>
          <w:color w:val="555555"/>
          <w:sz w:val="18"/>
        </w:rPr>
        <w:t xml:space="preserve">Brandenburgisches Kulturstiftungsgesetz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Organe der Stiftung sind:</w:t>
      </w:r>
    </w:p>
    <w:p>
      <w:r>
        <w:t xml:space="preserve">der Stiftungsrat und</w:t>
      </w:r>
    </w:p>
    <w:p>
      <w:r>
        <w:t xml:space="preserve">der Vorstand.</w:t>
      </w:r>
    </w:p>
    <w:p>
      <w:r>
        <w:t xml:space="preserve">(2) Zur Beratung der Organe in Belangen des Brandenburgischen Landesmuseums für moderne Kunst wird ein Fachbeirat gebildet.</w:t>
      </w:r>
    </w:p>
    <w:p>
      <w:r>
        <w:rPr>
          <w:color w:val="555555"/>
          <w:sz w:val="17"/>
        </w:rPr>
        <w:t xml:space="preserve">Zitiervorschlag: § 6 KultStG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https://recht.nulegal.eu/gesetze/KultStG/6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