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KultStG (Brandenburg) — Rechtsaufsicht</w:t>
      </w:r>
    </w:p>
    <w:p>
      <w:r>
        <w:rPr>
          <w:color w:val="555555"/>
          <w:sz w:val="18"/>
        </w:rPr>
        <w:t xml:space="preserve">Brandenburgisches Kulturstiftungsgesetz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Rechtsaufsicht über die Stiftung führt die für Kultur zuständige oberste Landesbehörde.</w:t>
      </w:r>
    </w:p>
    <w:p>
      <w:r>
        <w:rPr>
          <w:color w:val="555555"/>
          <w:sz w:val="17"/>
        </w:rPr>
        <w:t xml:space="preserve">Zitiervorschlag: § 5 KultStG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https://recht.nulegal.eu/gesetze/KultStG/5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