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KultStG (Brandenburg) — Inkrafttreten, Außerkrafttreten</w:t>
      </w:r>
    </w:p>
    <w:p>
      <w:r>
        <w:rPr>
          <w:color w:val="555555"/>
          <w:sz w:val="18"/>
        </w:rPr>
        <w:t xml:space="preserve">Brandenburgisches Kulturstiftungsgesetz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Dieses Gesetz tritt am 1. Juli 2017 in Kraft. Gleichzeitig tritt das Gesetz über die Errichtung einer Brandenburgischen Kulturstiftung Cottbus vom 29. Juni 2004 (GVBl. I S. 337) außer Kraft.</w:t>
      </w:r>
    </w:p>
    <w:p>
      <w:r>
        <w:t xml:space="preserve">Potsdam, den 30. Juni 2017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Britta Stark</w:t>
      </w:r>
    </w:p>
    <w:p>
      <w:r>
        <w:rPr>
          <w:color w:val="555555"/>
          <w:sz w:val="17"/>
        </w:rPr>
        <w:t xml:space="preserve">Zitiervorschlag: § 19 KultStG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https://recht.nulegal.eu/gesetze/KultStG/19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