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KultStG (Brandenburg) — Überleitung</w:t>
      </w:r>
    </w:p>
    <w:p>
      <w:r>
        <w:rPr>
          <w:color w:val="555555"/>
          <w:sz w:val="18"/>
        </w:rPr>
        <w:t xml:space="preserve">Brandenburgisches Kulturstiftungsgesetz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Mit Inkrafttreten dieses Gesetzes gehen die Arbeitsverhältnisse mit den derzeitigen Stelleninhaberinnen und Stelleninhabern des Eigenbetriebes Kulturbetriebe Frankfurt (Oder) bezogen auf das Museum Junge Kunst auf die Brandenburgische Kulturstiftung Cottbus-Frankfurt (Oder) über. Die Stiftung tritt vorbehaltlich der Regelung des Absatzes 2 in die Rechte und Pflichten aus diesen Arbeitsverhältnissen ein.</w:t>
      </w:r>
    </w:p>
    <w:p>
      <w:r>
        <w:t xml:space="preserve">(2) Für die nach Absatz 1 übernommenen Beschäftigten finden der Tarifvertrag des öffentlichen Dienstes des Kommunalen Arbeitgeberverbandes Brandenburg in der jeweils geltenden Fassung sowie die diesen ergänzenden, ändernden oder ersetzenden Tarifverträge Anwendung mit Ausnahme des Altersvorsorge-Tarifvertrages-Kommunal. Die betriebliche Altersversorgung richtet sich nach dem Tarifvertrag Altersversorgung.</w:t>
      </w:r>
    </w:p>
    <w:p>
      <w:r>
        <w:t xml:space="preserve">(3) Die bestehenden Arbeits- und Ausbildungsverhältnisse mit der Brandenburgischen Kulturstiftung Cottbus gelten unverändert fort.</w:t>
      </w:r>
    </w:p>
    <w:p>
      <w:r>
        <w:rPr>
          <w:color w:val="555555"/>
          <w:sz w:val="17"/>
        </w:rPr>
        <w:t xml:space="preserve">Zitiervorschlag: § 17 KultStG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https://recht.nulegal.eu/gesetze/KultStG/17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