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KultStG (Brandenburg) — Personal</w:t>
      </w:r>
    </w:p>
    <w:p>
      <w:r>
        <w:rPr>
          <w:color w:val="555555"/>
          <w:sz w:val="18"/>
        </w:rPr>
        <w:t xml:space="preserve">Brandenburgisches Kulturstiftungsgesetz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das Personal finden der Anwendungstarifvertrag zur Übernahme des TV-L und TVÜ-L für die Brandenburgische Kulturstiftung Cottbus, der Normalvertrag Bühne und der Tarifvertrag für Musiker in Kulturorchestern in der jeweils geltenden Fassung sowie die diese ergänzenden, ändernden oder ersetzenden Tarifverträge Anwendung.</w:t>
      </w:r>
    </w:p>
    <w:p>
      <w:r>
        <w:rPr>
          <w:color w:val="555555"/>
          <w:sz w:val="17"/>
        </w:rPr>
        <w:t xml:space="preserve">Zitiervorschlag: § 16 KultStG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https://recht.nulegal.eu/gesetze/KultStG/16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