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15 KultStG (Brandenburg) — Geschäftsjahr, Wirtschaftsplan und Rechnungsprüfung</w:t>
      </w:r>
    </w:p>
    <w:p>
      <w:r>
        <w:rPr>
          <w:color w:val="555555"/>
          <w:sz w:val="18"/>
        </w:rPr>
        <w:t xml:space="preserve">Brandenburgisches Kulturstiftungsgesetz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01.08.2026 (konsolidierte Textfassung, kein amtliches Inkrafttretensdatum)</w:t>
      </w:r>
    </w:p>
    <w:p>
      <w:r>
        <w:t xml:space="preserve">(1) Der Wirtschaftsplan der Stiftung ist jährlich rechtzeitig vor Beginn des Haushaltsjahres vom Vorstand im Entwurf aufzustellen. Er wird vom Stiftungsrat festgestellt.</w:t>
      </w:r>
    </w:p>
    <w:p>
      <w:r>
        <w:t xml:space="preserve">(2) Das Geschäftsjahr der Stiftung ist das Kalenderjahr.</w:t>
      </w:r>
    </w:p>
    <w:p>
      <w:r>
        <w:t xml:space="preserve">(3) Die Wirtschaftsführung und das Rechnungswesen der Stiftung richten sich nach kaufmännischen Grundsätzen.</w:t>
      </w:r>
    </w:p>
    <w:p>
      <w:r>
        <w:rPr>
          <w:color w:val="555555"/>
          <w:sz w:val="17"/>
        </w:rPr>
        <w:t xml:space="preserve">Zitiervorschlag: § 15 KultStG (Brandenburg)</w:t>
      </w:r>
    </w:p>
    <w:p>
      <w:r>
        <w:rPr>
          <w:color w:val="555555"/>
          <w:sz w:val="17"/>
        </w:rPr>
        <w:t xml:space="preserve">Quelle: bravors, abgerufen 01.08.2026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https://recht.nulegal.eu/gesetze/KultStG/15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