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KultStG (Brandenburg) — Aufgaben des Fachbeirates</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Fachbeirat berät die Organe der Stiftung und dabei insbesondere die Museumsdirektorin oder den Museumsdirektor in fachlichen Angelegenheiten des Brandenburgischen Landesmuseums für moderne Kunst. Er gibt hierzu Empfehlungen ab.</w:t>
      </w:r>
    </w:p>
    <w:p>
      <w:r>
        <w:t xml:space="preserve">(2) Der Fachbeirat soll mindestens einmal im Jahr zu einer ordentlichen Sitzung zusammentreffen. Eine außerordentliche Sitzung ist einzuberufen, wenn mindestens ein Drittel der Mitglieder oder der Stiftungsrat dies verlangen. Die Museumsdirektorin oder der Museumsdirektor bereitet die Sitzungen in Abstimmung mit der oder dem Beiratsvorsitzenden vor und nimmt an den Sitzungen teil.</w:t>
      </w:r>
    </w:p>
    <w:p>
      <w:r>
        <w:rPr>
          <w:color w:val="555555"/>
          <w:sz w:val="17"/>
        </w:rPr>
        <w:t xml:space="preserve">Zitiervorschlag: § 14 KultStG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