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KultStG (Brandenburg) — Erweiterung, Name und Sitz</w:t>
      </w:r>
    </w:p>
    <w:p>
      <w:r>
        <w:rPr>
          <w:color w:val="555555"/>
          <w:sz w:val="18"/>
        </w:rPr>
        <w:t xml:space="preserve">Brandenburgisches Kulturstiftungsgesetz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durch das Gesetz über die Errichtung einer Brandenburgischen Kulturstiftung Cottbus vom 29. Juni 2004 ( GVBl. I S. 337) errichtete Stiftung „Brandenburgische Kulturstiftung Cottbus“ bleibt unter dem in Absatz 2 bestimmten Namen bestehen. Sie wird um das Museum Junge Kunst Frankfurt (Oder) erweitert, das mit dem Kunstmuseum Dieselkraftwerk Cottbus zum Brandenburgischen Landesmuseum für moderne Kunst zusammengelegt wird.</w:t>
      </w:r>
    </w:p>
    <w:p>
      <w:r>
        <w:t xml:space="preserve">(2) Die Stiftung trägt den Namen „Brandenburgische Kulturstiftung Cottbus-Frankfurt (Oder)“.</w:t>
      </w:r>
    </w:p>
    <w:p>
      <w:r>
        <w:t xml:space="preserve">(3) Die Stiftung hat ihren Sitz in Cottbus.</w:t>
      </w:r>
    </w:p>
    <w:p>
      <w:r>
        <w:rPr>
          <w:color w:val="555555"/>
          <w:sz w:val="17"/>
        </w:rPr>
        <w:t xml:space="preserve">Zitiervorschlag: § 1 KultStG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https://recht.nulegal.eu/gesetze/KultStG/1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