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KugZuV 2023 — Außerkrafttreten</w:t>
      </w:r>
    </w:p>
    <w:p>
      <w:r>
        <w:rPr>
          <w:color w:val="555555"/>
          <w:sz w:val="18"/>
        </w:rPr>
        <w:t xml:space="preserve">Kurzarbeitergeldzugangsverordnung</w:t>
      </w:r>
    </w:p>
    <w:p>
      <w:r>
        <w:rPr>
          <w:color w:val="555555"/>
          <w:sz w:val="18"/>
        </w:rPr>
        <w:t xml:space="preserve">Historische Fassung: Stand 01.01.2023 bis 01.07.2023. Dies ist nicht die aktuelle Fassung.</w:t>
      </w:r>
    </w:p>
    <w:p>
      <w:r>
        <w:t xml:space="preserve">Diese Verordnung tritt mit Ablauf des 30. Juni 2023 außer Kraft.</w:t>
      </w:r>
    </w:p>
    <w:p>
      <w:r>
        <w:rPr>
          <w:color w:val="555555"/>
          <w:sz w:val="17"/>
        </w:rPr>
        <w:t xml:space="preserve">Zitiervorschlag: § 2 KugZuV 2023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https://recht.nulegal.eu/gesetze/KugZuV%202023/2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