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KugBeV 4</w:t>
      </w:r>
    </w:p>
    <w:p>
      <w:r>
        <w:rPr>
          <w:color w:val="555555"/>
          <w:sz w:val="18"/>
        </w:rPr>
        <w:t xml:space="preserve">Vierte Kurzarbeitergeldbezugsdauerverordnung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Bundesregierung verordnet aufgrund des § 109 Absatz 4 des Dritten Buches Sozialgesetzbuch – Arbeitsförderung – (Artikel 1 des Gesetzes vom 24. März 1997, BGBl. I S. 594, 595), das zuletzt durch Artikel 6 des Gesetzes vom 28. Oktober 2025 (BGBl. 2025 I Nr. 259) geändert worden ist:</w:t>
      </w:r>
    </w:p>
    <w:p>
      <w:r>
        <w:rPr>
          <w:color w:val="555555"/>
          <w:sz w:val="17"/>
        </w:rPr>
        <w:t xml:space="preserve">Zitiervorschlag: Eingangsformel KugBeV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https://recht.nulegal.eu/gesetze/KugBeV%204/eingangsformel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