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KugBeV 4 — Inkrafttreten</w:t>
      </w:r>
    </w:p>
    <w:p>
      <w:r>
        <w:rPr>
          <w:color w:val="555555"/>
          <w:sz w:val="18"/>
        </w:rPr>
        <w:t xml:space="preserve">Vierte Kurzarbeitergeldbezugsdauerverordnung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Diese Verordnung tritt am 1. Januar 2026 in Kraft.</w:t>
      </w:r>
    </w:p>
    <w:p>
      <w:r>
        <w:rPr>
          <w:color w:val="555555"/>
          <w:sz w:val="17"/>
        </w:rPr>
        <w:t xml:space="preserve">Zitiervorschlag: § 3 KugBeV 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https://recht.nulegal.eu/gesetze/KugBeV%204/3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