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KugBeV 4 — Außerkrafttreten</w:t>
      </w:r>
    </w:p>
    <w:p>
      <w:r>
        <w:rPr>
          <w:color w:val="555555"/>
          <w:sz w:val="18"/>
        </w:rPr>
        <w:t xml:space="preserve">Vierte Kurzarbeitergeldbezugsdauerverordnung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Diese Verordnung tritt mit Ablauf des 31. Dezember 2026 außer Kraft.</w:t>
      </w:r>
    </w:p>
    <w:p>
      <w:r>
        <w:rPr>
          <w:color w:val="555555"/>
          <w:sz w:val="17"/>
        </w:rPr>
        <w:t xml:space="preserve">Zitiervorschlag: § 2 KugBeV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https://recht.nulegal.eu/gesetze/KugBeV%204/2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