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KugBeV 3</w:t>
      </w:r>
    </w:p>
    <w:p>
      <w:r>
        <w:rPr>
          <w:color w:val="555555"/>
          <w:sz w:val="18"/>
        </w:rPr>
        <w:t xml:space="preserve">Dritte Kurzarbeitergeldbezugsdauerverordnung</w:t>
      </w:r>
    </w:p>
    <w:p>
      <w:r>
        <w:rPr>
          <w:color w:val="555555"/>
          <w:sz w:val="18"/>
        </w:rPr>
        <w:t xml:space="preserve">Historische Fassung: Stand 01.01.2025 bis 01.01.2026. Dies ist nicht die aktuelle Fassung.</w:t>
      </w:r>
    </w:p>
    <w:p>
      <w:r>
        <w:t xml:space="preserve">Auf Grund des § 109 Absatz 4 des Dritten Buches Sozialgesetzbuch – Arbeitsförderung –, der zuletzt durch Artikel 1 Nummer 1 Buchstabe d des Gesetzes vom 19. Oktober 2022 (BGBl. I S. 1790) geändert worden ist, verordnet die Bundesregierung:</w:t>
      </w:r>
    </w:p>
    <w:p>
      <w:r>
        <w:rPr>
          <w:color w:val="555555"/>
          <w:sz w:val="17"/>
        </w:rPr>
        <w:t xml:space="preserve">Zitiervorschlag: Eingangsformel KugBeV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